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Nephi 32:3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unto    </w:t>
      </w:r>
      <w:r>
        <w:t xml:space="preserve">   should    </w:t>
      </w:r>
      <w:r>
        <w:t xml:space="preserve">   things    </w:t>
      </w:r>
      <w:r>
        <w:t xml:space="preserve">   tell    </w:t>
      </w:r>
      <w:r>
        <w:t xml:space="preserve">   Christ    </w:t>
      </w:r>
      <w:r>
        <w:t xml:space="preserve">   behold    </w:t>
      </w:r>
      <w:r>
        <w:t xml:space="preserve">   upon    </w:t>
      </w:r>
      <w:r>
        <w:t xml:space="preserve">   feast    </w:t>
      </w:r>
      <w:r>
        <w:t xml:space="preserve">   Angels    </w:t>
      </w:r>
      <w:r>
        <w:t xml:space="preserve">   Holy Ghost    </w:t>
      </w:r>
      <w:r>
        <w:t xml:space="preserve">   speak    </w:t>
      </w:r>
      <w:r>
        <w:t xml:space="preserve">   wherefore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Nephi 32:3</dc:title>
  <dcterms:created xsi:type="dcterms:W3CDTF">2021-10-11T00:09:18Z</dcterms:created>
  <dcterms:modified xsi:type="dcterms:W3CDTF">2021-10-11T00:09:18Z</dcterms:modified>
</cp:coreProperties>
</file>