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Baseline    </w:t>
      </w:r>
      <w:r>
        <w:t xml:space="preserve">   Applied Behavior Analysis    </w:t>
      </w:r>
      <w:r>
        <w:t xml:space="preserve">   Antecedent    </w:t>
      </w:r>
      <w:r>
        <w:t xml:space="preserve">   Attention    </w:t>
      </w:r>
      <w:r>
        <w:t xml:space="preserve">   Autism    </w:t>
      </w:r>
      <w:r>
        <w:t xml:space="preserve">   Behavior    </w:t>
      </w:r>
      <w:r>
        <w:t xml:space="preserve">   Consequence    </w:t>
      </w:r>
      <w:r>
        <w:t xml:space="preserve">   Escape    </w:t>
      </w:r>
      <w:r>
        <w:t xml:space="preserve">   Extinction    </w:t>
      </w:r>
      <w:r>
        <w:t xml:space="preserve">   Reinforcement    </w:t>
      </w:r>
      <w:r>
        <w:t xml:space="preserve">   Sensory    </w:t>
      </w:r>
      <w:r>
        <w:t xml:space="preserve">   Tangible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 Wordsearch</dc:title>
  <dcterms:created xsi:type="dcterms:W3CDTF">2021-10-11T00:29:58Z</dcterms:created>
  <dcterms:modified xsi:type="dcterms:W3CDTF">2021-10-11T00:29:58Z</dcterms:modified>
</cp:coreProperties>
</file>