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Dr. Charles Bradley    </w:t>
      </w:r>
      <w:r>
        <w:t xml:space="preserve">   choiceworks calendar    </w:t>
      </w:r>
      <w:r>
        <w:t xml:space="preserve">   medications    </w:t>
      </w:r>
      <w:r>
        <w:t xml:space="preserve">   impulsivity    </w:t>
      </w:r>
      <w:r>
        <w:t xml:space="preserve">   self-monitoring    </w:t>
      </w:r>
      <w:r>
        <w:t xml:space="preserve">   behavior modification    </w:t>
      </w:r>
      <w:r>
        <w:t xml:space="preserve">   self-regulation    </w:t>
      </w:r>
      <w:r>
        <w:t xml:space="preserve">   DSM    </w:t>
      </w:r>
      <w:r>
        <w:t xml:space="preserve">   hyperactivity    </w:t>
      </w:r>
      <w:r>
        <w:t xml:space="preserve">   inattention    </w:t>
      </w:r>
      <w:r>
        <w:t xml:space="preserve">   health impairments    </w:t>
      </w:r>
      <w:r>
        <w:t xml:space="preserve">   sir George still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2021-10-11T00:38:58Z</dcterms:created>
  <dcterms:modified xsi:type="dcterms:W3CDTF">2021-10-11T00:38:58Z</dcterms:modified>
</cp:coreProperties>
</file>