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ALCOHOL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RISK    </w:t>
      </w:r>
      <w:r>
        <w:t xml:space="preserve">   ACCIDENT    </w:t>
      </w:r>
      <w:r>
        <w:t xml:space="preserve">   GLASSING    </w:t>
      </w:r>
      <w:r>
        <w:t xml:space="preserve">   ANTIDEPRESSANT    </w:t>
      </w:r>
      <w:r>
        <w:t xml:space="preserve">   ADDICTION    </w:t>
      </w:r>
      <w:r>
        <w:t xml:space="preserve">   STANDARD DRINKS    </w:t>
      </w:r>
      <w:r>
        <w:t xml:space="preserve">   MEN    </w:t>
      </w:r>
      <w:r>
        <w:t xml:space="preserve">   WOMEN    </w:t>
      </w:r>
      <w:r>
        <w:t xml:space="preserve">   BINGE    </w:t>
      </w:r>
      <w:r>
        <w:t xml:space="preserve">   VIOLENCE    </w:t>
      </w:r>
      <w:r>
        <w:t xml:space="preserve">   ALCOHOL    </w:t>
      </w:r>
      <w:r>
        <w:t xml:space="preserve">   ABUSE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ALCOHOL</dc:title>
  <dcterms:created xsi:type="dcterms:W3CDTF">2021-10-11T00:49:04Z</dcterms:created>
  <dcterms:modified xsi:type="dcterms:W3CDTF">2021-10-11T00:49:04Z</dcterms:modified>
</cp:coreProperties>
</file>