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Seminar Review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unstated belief that is commonly understood to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original source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 of any work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Source is believable and 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Accepting opposing viewpoint(s)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of curriculum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Reasoning that constructs general propositions that are supported with evidence or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Contradicting an opposing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solve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Information to support a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Expands on single content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relation to amount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collects information and its conclusions further your overall understanding.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filter of examination through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background information of a source or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boundary where an argument has been considered invalid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relation to texts and or other descriptions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Involving multiple areas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conditions or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Understanding resulting from analysis of evidence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 stance between different perspectives that's supported with a line of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additional insight of a primary source through commentary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Answering a question or addressing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of view conveyed through an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influence in opinion based on personal beliefs and/or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opposing viewpoint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Temporary structured support for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Arrangement of claims and evidence that leads to the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Extend to which something can be trusted to be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Current texts of a field of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perspective or standpoint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Disproving an opposing perspective by providing counterevidence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Reasoning that presents evidence as 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analysis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multifaceted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Stylistic features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Failure to acknowledge the responsible author(s) for an idea and/or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Statement that asserts a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Process of seeking truth and knowledge on a subject </w:t>
            </w:r>
          </w:p>
        </w:tc>
      </w:tr>
    </w:tbl>
    <w:p>
      <w:pPr>
        <w:pStyle w:val="WordBankLarge"/>
      </w:pPr>
      <w:r>
        <w:t xml:space="preserve">   Alignment     </w:t>
      </w:r>
      <w:r>
        <w:t xml:space="preserve">   Argument     </w:t>
      </w:r>
      <w:r>
        <w:t xml:space="preserve">   Assumption     </w:t>
      </w:r>
      <w:r>
        <w:t xml:space="preserve">   Author    </w:t>
      </w:r>
      <w:r>
        <w:t xml:space="preserve">   Bias    </w:t>
      </w:r>
      <w:r>
        <w:t xml:space="preserve">   Claim     </w:t>
      </w:r>
      <w:r>
        <w:t xml:space="preserve">   Commentary     </w:t>
      </w:r>
      <w:r>
        <w:t xml:space="preserve">   Complex Issue     </w:t>
      </w:r>
      <w:r>
        <w:t xml:space="preserve">   Concession     </w:t>
      </w:r>
      <w:r>
        <w:t xml:space="preserve">   Conclusions    </w:t>
      </w:r>
      <w:r>
        <w:t xml:space="preserve">   Context    </w:t>
      </w:r>
      <w:r>
        <w:t xml:space="preserve">   Conventions     </w:t>
      </w:r>
      <w:r>
        <w:t xml:space="preserve">   Counterargument     </w:t>
      </w:r>
      <w:r>
        <w:t xml:space="preserve">   Credibility     </w:t>
      </w:r>
      <w:r>
        <w:t xml:space="preserve">   Cross-circular     </w:t>
      </w:r>
      <w:r>
        <w:t xml:space="preserve">   Deductive     </w:t>
      </w:r>
      <w:r>
        <w:t xml:space="preserve">   Evidence     </w:t>
      </w:r>
      <w:r>
        <w:t xml:space="preserve">   Inductive     </w:t>
      </w:r>
      <w:r>
        <w:t xml:space="preserve">   Inquiry    </w:t>
      </w:r>
      <w:r>
        <w:t xml:space="preserve">   Interdisciplinary    </w:t>
      </w:r>
      <w:r>
        <w:t xml:space="preserve">   Issue     </w:t>
      </w:r>
      <w:r>
        <w:t xml:space="preserve">   Lens    </w:t>
      </w:r>
      <w:r>
        <w:t xml:space="preserve">   Limitation     </w:t>
      </w:r>
      <w:r>
        <w:t xml:space="preserve">   Line of reasoning    </w:t>
      </w:r>
      <w:r>
        <w:t xml:space="preserve">   Literature     </w:t>
      </w:r>
      <w:r>
        <w:t xml:space="preserve">   Perspective     </w:t>
      </w:r>
      <w:r>
        <w:t xml:space="preserve">   Plagiarism    </w:t>
      </w:r>
      <w:r>
        <w:t xml:space="preserve">   Point of view    </w:t>
      </w:r>
      <w:r>
        <w:t xml:space="preserve">   Primary Source    </w:t>
      </w:r>
      <w:r>
        <w:t xml:space="preserve">   Qualification     </w:t>
      </w:r>
      <w:r>
        <w:t xml:space="preserve">   Qualitative     </w:t>
      </w:r>
      <w:r>
        <w:t xml:space="preserve">   Quantitative     </w:t>
      </w:r>
      <w:r>
        <w:t xml:space="preserve">   Rebuttal    </w:t>
      </w:r>
      <w:r>
        <w:t xml:space="preserve">   Refutation     </w:t>
      </w:r>
      <w:r>
        <w:t xml:space="preserve">   Reliability     </w:t>
      </w:r>
      <w:r>
        <w:t xml:space="preserve">   Resolution    </w:t>
      </w:r>
      <w:r>
        <w:t xml:space="preserve">   Scaffolding     </w:t>
      </w:r>
      <w:r>
        <w:t xml:space="preserve">   Secondary Source    </w:t>
      </w:r>
      <w:r>
        <w:t xml:space="preserve">   Sequencing    </w:t>
      </w:r>
      <w:r>
        <w:t xml:space="preserve">   Solution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Seminar Review Crossword Puzzle </dc:title>
  <dcterms:created xsi:type="dcterms:W3CDTF">2021-10-11T01:28:28Z</dcterms:created>
  <dcterms:modified xsi:type="dcterms:W3CDTF">2021-10-11T01:28:28Z</dcterms:modified>
</cp:coreProperties>
</file>