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Aardvervarming en Volhoubare Toerisme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atmosfeer    </w:t>
      </w:r>
      <w:r>
        <w:t xml:space="preserve">   gletsers    </w:t>
      </w:r>
      <w:r>
        <w:t xml:space="preserve">   groentoerismepraktyke    </w:t>
      </w:r>
      <w:r>
        <w:t xml:space="preserve">   hittegolwe    </w:t>
      </w:r>
      <w:r>
        <w:t xml:space="preserve">   koolstofvoetspoor    </w:t>
      </w:r>
      <w:r>
        <w:t xml:space="preserve">   ontbossing    </w:t>
      </w:r>
      <w:r>
        <w:t xml:space="preserve">   opeenhoping    </w:t>
      </w:r>
      <w:r>
        <w:t xml:space="preserve">   poolys    </w:t>
      </w:r>
      <w:r>
        <w:t xml:space="preserve">   uitlaatgas    </w:t>
      </w:r>
      <w:r>
        <w:t xml:space="preserve">   vandalisme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Aardvervarming en Volhoubare Toerisme</dc:title>
  <dcterms:created xsi:type="dcterms:W3CDTF">2021-10-11T00:29:04Z</dcterms:created>
  <dcterms:modified xsi:type="dcterms:W3CDTF">2021-10-11T00:29:04Z</dcterms:modified>
</cp:coreProperties>
</file>