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residual interest in the assets of the entity after deducting all its liabilities.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items that are bought with the intention of selling the item to a customer.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instructed attorney acting on an instructing attorney’s behalf.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accounting entry that either increases an asset or expense account, or decreases a liability or equity account.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that governments impose on income generated by businesses and individuals.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collection of all the accounts and transactions of a company.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present obligation of the entity to transfer an economic resource as a result of past events.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qualitative characteristic of accounting information that makes a difference in decision-making.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money must be deposited in a separate banking account.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concept or convention within accounting relating to the importance/significance of an amount, transaction, or discrepancy.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or procedures, which are followed by an entity to prepare its financial statements.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accounting entry that either increases a liability or equity account, or decreases an asset or expense account. (6)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Purchases    </w:t>
      </w:r>
      <w:r>
        <w:t xml:space="preserve">   Ledger    </w:t>
      </w:r>
      <w:r>
        <w:t xml:space="preserve">   Debit    </w:t>
      </w:r>
      <w:r>
        <w:t xml:space="preserve">   Income    </w:t>
      </w:r>
      <w:r>
        <w:t xml:space="preserve">   Policy    </w:t>
      </w:r>
      <w:r>
        <w:t xml:space="preserve">   Materiality    </w:t>
      </w:r>
      <w:r>
        <w:t xml:space="preserve">   Relevance    </w:t>
      </w:r>
      <w:r>
        <w:t xml:space="preserve">   Liability    </w:t>
      </w:r>
      <w:r>
        <w:t xml:space="preserve">   Correspondent    </w:t>
      </w:r>
      <w:r>
        <w:t xml:space="preserve">   Equity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Accountancy</dc:title>
  <dcterms:created xsi:type="dcterms:W3CDTF">2021-10-11T00:34:47Z</dcterms:created>
  <dcterms:modified xsi:type="dcterms:W3CDTF">2021-10-11T00:34:47Z</dcterms:modified>
</cp:coreProperties>
</file>