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substance over form    </w:t>
      </w:r>
      <w:r>
        <w:t xml:space="preserve">   matching    </w:t>
      </w:r>
      <w:r>
        <w:t xml:space="preserve">   materiality    </w:t>
      </w:r>
      <w:r>
        <w:t xml:space="preserve">   duality    </w:t>
      </w:r>
      <w:r>
        <w:t xml:space="preserve">   realisation    </w:t>
      </w:r>
      <w:r>
        <w:t xml:space="preserve">   prudence    </w:t>
      </w:r>
      <w:r>
        <w:t xml:space="preserve">   consistency    </w:t>
      </w:r>
      <w:r>
        <w:t xml:space="preserve">   going concern    </w:t>
      </w:r>
      <w:r>
        <w:t xml:space="preserve">   money measurement    </w:t>
      </w:r>
      <w:r>
        <w:t xml:space="preserve">   Historic cost    </w:t>
      </w:r>
      <w:r>
        <w:t xml:space="preserve">   Business 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 and Principles</dc:title>
  <dcterms:created xsi:type="dcterms:W3CDTF">2022-01-25T03:37:21Z</dcterms:created>
  <dcterms:modified xsi:type="dcterms:W3CDTF">2022-01-25T03:37:21Z</dcterms:modified>
</cp:coreProperties>
</file>