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for Not-for-Profit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deficit    </w:t>
      </w:r>
      <w:r>
        <w:t xml:space="preserve">   surplus    </w:t>
      </w:r>
      <w:r>
        <w:t xml:space="preserve">   subscriptions    </w:t>
      </w:r>
      <w:r>
        <w:t xml:space="preserve">   special funds    </w:t>
      </w:r>
      <w:r>
        <w:t xml:space="preserve">   government grant    </w:t>
      </w:r>
      <w:r>
        <w:t xml:space="preserve">   endowment fund    </w:t>
      </w:r>
      <w:r>
        <w:t xml:space="preserve">   honorarium    </w:t>
      </w:r>
      <w:r>
        <w:t xml:space="preserve">   entrance fees    </w:t>
      </w:r>
      <w:r>
        <w:t xml:space="preserve">   life membership fees    </w:t>
      </w:r>
      <w:r>
        <w:t xml:space="preserve">   Legacies    </w:t>
      </w:r>
      <w:r>
        <w:t xml:space="preserve">   donations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for Not-for-Profit Organisation</dc:title>
  <dcterms:created xsi:type="dcterms:W3CDTF">2021-10-11T00:33:48Z</dcterms:created>
  <dcterms:modified xsi:type="dcterms:W3CDTF">2021-10-11T00:33:48Z</dcterms:modified>
</cp:coreProperties>
</file>