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 and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Neutralisation    </w:t>
      </w:r>
      <w:r>
        <w:t xml:space="preserve">   Indicator    </w:t>
      </w:r>
      <w:r>
        <w:t xml:space="preserve">   Corrosive    </w:t>
      </w:r>
      <w:r>
        <w:t xml:space="preserve">   Solvent    </w:t>
      </w:r>
      <w:r>
        <w:t xml:space="preserve">   Reaction    </w:t>
      </w:r>
      <w:r>
        <w:t xml:space="preserve">   Soluble    </w:t>
      </w:r>
      <w:r>
        <w:t xml:space="preserve">   Alkali    </w:t>
      </w:r>
      <w:r>
        <w:t xml:space="preserve">   Base    </w:t>
      </w:r>
      <w:r>
        <w:t xml:space="preserve">   Acid    </w:t>
      </w:r>
      <w:r>
        <w:t xml:space="preserve">   Properties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B</dc:title>
  <dcterms:created xsi:type="dcterms:W3CDTF">2021-10-11T00:35:23Z</dcterms:created>
  <dcterms:modified xsi:type="dcterms:W3CDTF">2021-10-11T00:35:23Z</dcterms:modified>
</cp:coreProperties>
</file>