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Acronyms &amp;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amount of benefits payable in a benefit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employing unit covered under UI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claimant resumes a claim due to something other than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claimant re-opens their claim afgter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new decision due to new facts unavailable with the original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Internet weekly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code assigned to a claim defining the claimant's work search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Benefits paid less than a full weekly rate, usually due to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for of the last five completed calendar quarters prior to the VNC.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week a claimant earns $500 or more than allowed to receive a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Weekly benefit amount eligibility, based on base period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Weekly claim filed by internet or claim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Information gathering document filled out by claimant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employer who pays UI taxes.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Decisions re-issued to correct a technical or clerical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claim based on wages from another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"35" decision that allows benefits and does not require a 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Suspension of benefits that as a specific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 employers that are billed rather than pay taxes into 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Attorney who makes a determination after an appeal of a 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employing unit that is subject to UI law in any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the adjudicator to view what the claimant sees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52 week period during which a claimant can receive benefits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Geographic area in which a claimant resides and seeks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legal decision issued by an ALJ when a decision is appealed.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Labor and Industry Review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 of at least 32 hours in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week in which a claiman has worked 32 hours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Period of weeks between the end of the base period and the VNC week.</w:t>
            </w:r>
          </w:p>
        </w:tc>
      </w:tr>
    </w:tbl>
    <w:p>
      <w:pPr>
        <w:pStyle w:val="WordBankLarge"/>
      </w:pPr>
      <w:r>
        <w:t xml:space="preserve">   Internet Fact Finding    </w:t>
      </w:r>
      <w:r>
        <w:t xml:space="preserve">   Additional Claim    </w:t>
      </w:r>
      <w:r>
        <w:t xml:space="preserve">   Combined Wage Claim    </w:t>
      </w:r>
      <w:r>
        <w:t xml:space="preserve">   Hours Plus    </w:t>
      </w:r>
      <w:r>
        <w:t xml:space="preserve">   Covered Employer    </w:t>
      </w:r>
      <w:r>
        <w:t xml:space="preserve">   Contributing Employer    </w:t>
      </w:r>
      <w:r>
        <w:t xml:space="preserve">   Claim Certification    </w:t>
      </w:r>
      <w:r>
        <w:t xml:space="preserve">   Redetermination    </w:t>
      </w:r>
      <w:r>
        <w:t xml:space="preserve">   Reimbursable Employer    </w:t>
      </w:r>
      <w:r>
        <w:t xml:space="preserve">   Subject Employer    </w:t>
      </w:r>
      <w:r>
        <w:t xml:space="preserve">   Maximum benefit amount    </w:t>
      </w:r>
      <w:r>
        <w:t xml:space="preserve">   Full-time work    </w:t>
      </w:r>
      <w:r>
        <w:t xml:space="preserve">   Informal Determination    </w:t>
      </w:r>
      <w:r>
        <w:t xml:space="preserve">   Weekly Benefit Rate    </w:t>
      </w:r>
      <w:r>
        <w:t xml:space="preserve">   Definite Suspension    </w:t>
      </w:r>
      <w:r>
        <w:t xml:space="preserve">   Reopened Claim    </w:t>
      </w:r>
      <w:r>
        <w:t xml:space="preserve">   Worker Portal    </w:t>
      </w:r>
      <w:r>
        <w:t xml:space="preserve">   Base Period    </w:t>
      </w:r>
      <w:r>
        <w:t xml:space="preserve">   Lag Period    </w:t>
      </w:r>
      <w:r>
        <w:t xml:space="preserve">   Labor Market    </w:t>
      </w:r>
      <w:r>
        <w:t xml:space="preserve">   Partial Benefits    </w:t>
      </w:r>
      <w:r>
        <w:t xml:space="preserve">   ERP Code    </w:t>
      </w:r>
      <w:r>
        <w:t xml:space="preserve">   Wage Plus    </w:t>
      </w:r>
      <w:r>
        <w:t xml:space="preserve">   LIRC    </w:t>
      </w:r>
      <w:r>
        <w:t xml:space="preserve">   Amend    </w:t>
      </w:r>
      <w:r>
        <w:t xml:space="preserve">   Benefit Year    </w:t>
      </w:r>
      <w:r>
        <w:t xml:space="preserve">   IWC    </w:t>
      </w:r>
      <w:r>
        <w:t xml:space="preserve">   ATD    </w:t>
      </w:r>
      <w:r>
        <w:t xml:space="preserve">   ALJ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Acronyms &amp; Definitions</dc:title>
  <dcterms:created xsi:type="dcterms:W3CDTF">2021-10-11T00:35:11Z</dcterms:created>
  <dcterms:modified xsi:type="dcterms:W3CDTF">2021-10-11T00:35:11Z</dcterms:modified>
</cp:coreProperties>
</file>