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Addison's Disease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HYPERKALEMIA    </w:t>
      </w:r>
      <w:r>
        <w:t xml:space="preserve">   HYPERCALCEMIA    </w:t>
      </w:r>
      <w:r>
        <w:t xml:space="preserve">   PIGMENTATION    </w:t>
      </w:r>
      <w:r>
        <w:t xml:space="preserve">   ADDISONS    </w:t>
      </w:r>
      <w:r>
        <w:t xml:space="preserve">   HYPOGLYCEMIA    </w:t>
      </w:r>
      <w:r>
        <w:t xml:space="preserve">   ANOREXIA    </w:t>
      </w:r>
      <w:r>
        <w:t xml:space="preserve">   WEIGHT LOSS    </w:t>
      </w:r>
      <w:r>
        <w:t xml:space="preserve">   HAIR LOSS    </w:t>
      </w:r>
      <w:r>
        <w:t xml:space="preserve">   WEAKNESS    </w:t>
      </w:r>
      <w:r>
        <w:t xml:space="preserve">   GI DISTURBANCES    </w:t>
      </w:r>
      <w:r>
        <w:t xml:space="preserve">   POSTURAL HYPOTENSION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Addison's Disease</dc:title>
  <dcterms:created xsi:type="dcterms:W3CDTF">2021-10-11T00:37:52Z</dcterms:created>
  <dcterms:modified xsi:type="dcterms:W3CDTF">2021-10-11T00:37:52Z</dcterms:modified>
</cp:coreProperties>
</file>