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turfgrasses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fungal endophytes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inflorescence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stolenizing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seed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extravaginal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warm season turfgrass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transition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seed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bunch-type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playability 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coarse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seed certification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utility-type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recuperative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season turfgrass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fertilizer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seminal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vegetaive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crown</w:t>
            </w:r>
          </w:p>
        </w:tc>
      </w:tr>
    </w:tbl>
    <w:p>
      <w:pPr>
        <w:pStyle w:val="WordBankLarge"/>
      </w:pPr>
      <w:r>
        <w:t xml:space="preserve">   turfgrasses    </w:t>
      </w:r>
      <w:r>
        <w:t xml:space="preserve">   sheath    </w:t>
      </w:r>
      <w:r>
        <w:t xml:space="preserve">   blade    </w:t>
      </w:r>
      <w:r>
        <w:t xml:space="preserve">   thatch    </w:t>
      </w:r>
      <w:r>
        <w:t xml:space="preserve">   inflorescence    </w:t>
      </w:r>
      <w:r>
        <w:t xml:space="preserve">   induction    </w:t>
      </w:r>
      <w:r>
        <w:t xml:space="preserve">   ligule    </w:t>
      </w:r>
      <w:r>
        <w:t xml:space="preserve">   collar    </w:t>
      </w:r>
      <w:r>
        <w:t xml:space="preserve">   recuperative potential    </w:t>
      </w:r>
      <w:r>
        <w:t xml:space="preserve">   fine texture    </w:t>
      </w:r>
      <w:r>
        <w:t xml:space="preserve">   coarse texture    </w:t>
      </w:r>
      <w:r>
        <w:t xml:space="preserve">   bunch-type grass    </w:t>
      </w:r>
      <w:r>
        <w:t xml:space="preserve">   utility-type grass    </w:t>
      </w:r>
      <w:r>
        <w:t xml:space="preserve">   fungal endophytes    </w:t>
      </w:r>
      <w:r>
        <w:t xml:space="preserve">   transition zone    </w:t>
      </w:r>
      <w:r>
        <w:t xml:space="preserve">   fertilizer analysis    </w:t>
      </w:r>
      <w:r>
        <w:t xml:space="preserve">   syringing    </w:t>
      </w:r>
      <w:r>
        <w:t xml:space="preserve">   seed blend    </w:t>
      </w:r>
      <w:r>
        <w:t xml:space="preserve">   seed mixture    </w:t>
      </w:r>
      <w:r>
        <w:t xml:space="preserve">   seed certification programs    </w:t>
      </w:r>
      <w:r>
        <w:t xml:space="preserve">   sodding    </w:t>
      </w:r>
      <w:r>
        <w:t xml:space="preserve">   stolenizing    </w:t>
      </w:r>
      <w:r>
        <w:t xml:space="preserve">   plugging    </w:t>
      </w:r>
      <w:r>
        <w:t xml:space="preserve">   playability greens    </w:t>
      </w:r>
      <w:r>
        <w:t xml:space="preserve">   seminal roots    </w:t>
      </w:r>
      <w:r>
        <w:t xml:space="preserve">   warm season turfgrass    </w:t>
      </w:r>
      <w:r>
        <w:t xml:space="preserve">   cool season turfgrass    </w:t>
      </w:r>
      <w:r>
        <w:t xml:space="preserve">   crown    </w:t>
      </w:r>
      <w:r>
        <w:t xml:space="preserve">   extravaginal growth    </w:t>
      </w:r>
      <w:r>
        <w:t xml:space="preserve">   extravaginal growth    </w:t>
      </w:r>
      <w:r>
        <w:t xml:space="preserve">   tillers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</dc:title>
  <dcterms:created xsi:type="dcterms:W3CDTF">2021-10-11T00:45:10Z</dcterms:created>
  <dcterms:modified xsi:type="dcterms:W3CDTF">2021-10-11T00:45:10Z</dcterms:modified>
</cp:coreProperties>
</file>