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Alcohol Consumption Crossword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type of alcohol in alcoholic beverages.</w:t>
            </w:r>
          </w:p>
          <w:p>
            <w:pPr>
              <w:keepLines/>
              <w:pStyle w:val="CluesTiny"/>
            </w:pPr>
            <w:r>
              <w:rPr>
                <w:b w:val="true"/>
                <w:bCs w:val="true"/>
              </w:rPr>
              <w:t xml:space="preserve">8. </w:t>
            </w:r>
            <w:r>
              <w:t xml:space="preserve">The average age at which individuals are initiated to alcohol.</w:t>
            </w:r>
          </w:p>
          <w:p>
            <w:pPr>
              <w:keepLines/>
              <w:pStyle w:val="CluesTiny"/>
            </w:pPr>
            <w:r>
              <w:rPr>
                <w:b w:val="true"/>
                <w:bCs w:val="true"/>
              </w:rPr>
              <w:t xml:space="preserve">10. </w:t>
            </w:r>
            <w:r>
              <w:t xml:space="preserve">Category drinker that poses high risks drinking, but are not dependent on alcohol.</w:t>
            </w:r>
          </w:p>
          <w:p>
            <w:pPr>
              <w:keepLines/>
              <w:pStyle w:val="CluesTiny"/>
            </w:pPr>
            <w:r>
              <w:rPr>
                <w:b w:val="true"/>
                <w:bCs w:val="true"/>
              </w:rPr>
              <w:t xml:space="preserve">11. </w:t>
            </w:r>
            <w:r>
              <w:t xml:space="preserve">A disease in which a person has a physical or psychological dependence on drinks that contain alcohol.</w:t>
            </w:r>
          </w:p>
          <w:p>
            <w:pPr>
              <w:keepLines/>
              <w:pStyle w:val="CluesTiny"/>
            </w:pPr>
            <w:r>
              <w:rPr>
                <w:b w:val="true"/>
                <w:bCs w:val="true"/>
              </w:rPr>
              <w:t xml:space="preserve">12. </w:t>
            </w:r>
            <w:r>
              <w:t xml:space="preserve">The critical period of brain maturation.</w:t>
            </w:r>
          </w:p>
          <w:p>
            <w:pPr>
              <w:keepLines/>
              <w:pStyle w:val="CluesTiny"/>
            </w:pPr>
            <w:r>
              <w:rPr>
                <w:b w:val="true"/>
                <w:bCs w:val="true"/>
              </w:rPr>
              <w:t xml:space="preserve">13. </w:t>
            </w:r>
            <w:r>
              <w:t xml:space="preserve">Competences that should be taught in early elementary grades in order to reduce misbehaviors.</w:t>
            </w:r>
          </w:p>
        </w:tc>
        <w:tc>
          <w:p>
            <w:pPr>
              <w:pStyle w:val="CluesTiny"/>
            </w:pPr>
            <w:r>
              <w:rPr>
                <w:b w:val="true"/>
                <w:bCs w:val="true"/>
              </w:rPr>
              <w:t xml:space="preserve">Down</w:t>
            </w:r>
          </w:p>
          <w:p>
            <w:pPr>
              <w:keepLines/>
              <w:pStyle w:val="CluesTiny"/>
            </w:pPr>
            <w:r>
              <w:rPr>
                <w:b w:val="true"/>
                <w:bCs w:val="true"/>
              </w:rPr>
              <w:t xml:space="preserve">1. </w:t>
            </w:r>
            <w:r>
              <w:t xml:space="preserve">This brain region has been implicated in planning complex cognitive behavior, personality expression, decision making, and moderating social behavior.</w:t>
            </w:r>
          </w:p>
          <w:p>
            <w:pPr>
              <w:keepLines/>
              <w:pStyle w:val="CluesTiny"/>
            </w:pPr>
            <w:r>
              <w:rPr>
                <w:b w:val="true"/>
                <w:bCs w:val="true"/>
              </w:rPr>
              <w:t xml:space="preserve">2. </w:t>
            </w:r>
            <w:r>
              <w:t xml:space="preserve">A social effect occuring when the propensity of an individual to behave in some way varies with the behavior of the reference group.</w:t>
            </w:r>
          </w:p>
          <w:p>
            <w:pPr>
              <w:keepLines/>
              <w:pStyle w:val="CluesTiny"/>
            </w:pPr>
            <w:r>
              <w:rPr>
                <w:b w:val="true"/>
                <w:bCs w:val="true"/>
              </w:rPr>
              <w:t xml:space="preserve">3. </w:t>
            </w:r>
            <w:r>
              <w:t xml:space="preserve">A brevage that may cause permanent damage to the brain, if consumed in an early age.</w:t>
            </w:r>
          </w:p>
          <w:p>
            <w:pPr>
              <w:keepLines/>
              <w:pStyle w:val="CluesTiny"/>
            </w:pPr>
            <w:r>
              <w:rPr>
                <w:b w:val="true"/>
                <w:bCs w:val="true"/>
              </w:rPr>
              <w:t xml:space="preserve">5. </w:t>
            </w:r>
            <w:r>
              <w:t xml:space="preserve">A social effect occuring when the propensity of an individual to behave in some way varies with the exogenous characteristics of the reference group.</w:t>
            </w:r>
          </w:p>
          <w:p>
            <w:pPr>
              <w:keepLines/>
              <w:pStyle w:val="CluesTiny"/>
            </w:pPr>
            <w:r>
              <w:rPr>
                <w:b w:val="true"/>
                <w:bCs w:val="true"/>
              </w:rPr>
              <w:t xml:space="preserve">6. </w:t>
            </w:r>
            <w:r>
              <w:t xml:space="preserve">One of the third social effects, and can effects occur when individuals in the same group tend to behave similarly because they have similar individual characteristics or face similar institutional environments.</w:t>
            </w:r>
          </w:p>
          <w:p>
            <w:pPr>
              <w:keepLines/>
              <w:pStyle w:val="CluesTiny"/>
            </w:pPr>
            <w:r>
              <w:rPr>
                <w:b w:val="true"/>
                <w:bCs w:val="true"/>
              </w:rPr>
              <w:t xml:space="preserve">7. </w:t>
            </w:r>
            <w:r>
              <w:t xml:space="preserve">Part of the brain that plays important roles in the consolidation of information from short-term memory to long-term memory.</w:t>
            </w:r>
          </w:p>
          <w:p>
            <w:pPr>
              <w:keepLines/>
              <w:pStyle w:val="CluesTiny"/>
            </w:pPr>
            <w:r>
              <w:rPr>
                <w:b w:val="true"/>
                <w:bCs w:val="true"/>
              </w:rPr>
              <w:t xml:space="preserve">9. </w:t>
            </w:r>
            <w:r>
              <w:t xml:space="preserve">Body part that is damaged by an excessive alcohol consumption in teenage years.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Alcohol Consumption Crossword </dc:title>
  <dcterms:created xsi:type="dcterms:W3CDTF">2021-10-11T00:49:13Z</dcterms:created>
  <dcterms:modified xsi:type="dcterms:W3CDTF">2021-10-11T00:49:13Z</dcterms:modified>
</cp:coreProperties>
</file>