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Aldehydes and Ketones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chain position    </w:t>
      </w:r>
      <w:r>
        <w:t xml:space="preserve">   reduction    </w:t>
      </w:r>
      <w:r>
        <w:t xml:space="preserve">   oxidation    </w:t>
      </w:r>
      <w:r>
        <w:t xml:space="preserve">   carbonyl group    </w:t>
      </w:r>
      <w:r>
        <w:t xml:space="preserve">   Functional group    </w:t>
      </w:r>
      <w:r>
        <w:t xml:space="preserve">   reflux    </w:t>
      </w:r>
      <w:r>
        <w:t xml:space="preserve">   aldehyde    </w:t>
      </w:r>
      <w:r>
        <w:t xml:space="preserve">   ketone    </w:t>
      </w:r>
      <w:r>
        <w:t xml:space="preserve">   carboxylic acid    </w:t>
      </w:r>
      <w:r>
        <w:t xml:space="preserve">   Double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Aldehydes and Ketones</dc:title>
  <dcterms:created xsi:type="dcterms:W3CDTF">2021-10-11T00:50:10Z</dcterms:created>
  <dcterms:modified xsi:type="dcterms:W3CDTF">2021-10-11T00:50:10Z</dcterms:modified>
</cp:coreProperties>
</file>