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ở xứ sở thần tiên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những bông hồng đỏ    </w:t>
      </w:r>
      <w:r>
        <w:t xml:space="preserve">   Chim hồng hạc    </w:t>
      </w:r>
      <w:r>
        <w:t xml:space="preserve">   tweedle dum    </w:t>
      </w:r>
      <w:r>
        <w:t xml:space="preserve">   tweedle dee    </w:t>
      </w:r>
      <w:r>
        <w:t xml:space="preserve">   bình trà    </w:t>
      </w:r>
      <w:r>
        <w:t xml:space="preserve">   nữ hoàng của những trái tim    </w:t>
      </w:r>
      <w:r>
        <w:t xml:space="preserve">   chơi bài    </w:t>
      </w:r>
      <w:r>
        <w:t xml:space="preserve">   con thỏ rừng    </w:t>
      </w:r>
      <w:r>
        <w:t xml:space="preserve">   thỏ trắng    </w:t>
      </w:r>
      <w:r>
        <w:t xml:space="preserve">   con mèo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ở xứ sở thần tiên</dc:title>
  <dcterms:created xsi:type="dcterms:W3CDTF">2021-10-11T00:54:23Z</dcterms:created>
  <dcterms:modified xsi:type="dcterms:W3CDTF">2021-10-11T00:54:23Z</dcterms:modified>
</cp:coreProperties>
</file>