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Anesthesiology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administer    </w:t>
      </w:r>
      <w:r>
        <w:t xml:space="preserve">   anesthesia    </w:t>
      </w:r>
      <w:r>
        <w:t xml:space="preserve">   cessation    </w:t>
      </w:r>
      <w:r>
        <w:t xml:space="preserve">   intravenous    </w:t>
      </w:r>
      <w:r>
        <w:t xml:space="preserve">   analgesia    </w:t>
      </w:r>
      <w:r>
        <w:t xml:space="preserve">   drugs    </w:t>
      </w:r>
      <w:r>
        <w:t xml:space="preserve">   sedation    </w:t>
      </w:r>
      <w:r>
        <w:t xml:space="preserve">   patient    </w:t>
      </w:r>
      <w:r>
        <w:t xml:space="preserve">   monitor    </w:t>
      </w:r>
      <w:r>
        <w:t xml:space="preserve">   Contaminant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Anesthesiology</dc:title>
  <dcterms:created xsi:type="dcterms:W3CDTF">2021-10-11T01:13:57Z</dcterms:created>
  <dcterms:modified xsi:type="dcterms:W3CDTF">2021-10-11T01:13:57Z</dcterms:modified>
</cp:coreProperties>
</file>