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Microeconomics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Inelastic    </w:t>
      </w:r>
      <w:r>
        <w:t xml:space="preserve">   Elastic    </w:t>
      </w:r>
      <w:r>
        <w:t xml:space="preserve">   Free-Response    </w:t>
      </w:r>
      <w:r>
        <w:t xml:space="preserve">   Comparative Advantage    </w:t>
      </w:r>
      <w:r>
        <w:t xml:space="preserve">   Monopoly    </w:t>
      </w:r>
      <w:r>
        <w:t xml:space="preserve">   Price Ceiling    </w:t>
      </w:r>
      <w:r>
        <w:t xml:space="preserve">   Price Floor    </w:t>
      </w:r>
      <w:r>
        <w:t xml:space="preserve">   Profit    </w:t>
      </w:r>
      <w:r>
        <w:t xml:space="preserve">   Revenue    </w:t>
      </w:r>
      <w:r>
        <w:t xml:space="preserve">   Shortage    </w:t>
      </w:r>
      <w:r>
        <w:t xml:space="preserve">   Subsidy    </w:t>
      </w:r>
      <w:r>
        <w:t xml:space="preserve">   Surplus    </w:t>
      </w:r>
      <w:r>
        <w:t xml:space="preserve">   Tax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Microeconomics Review</dc:title>
  <dcterms:created xsi:type="dcterms:W3CDTF">2021-10-11T01:27:10Z</dcterms:created>
  <dcterms:modified xsi:type="dcterms:W3CDTF">2021-10-11T01:27:10Z</dcterms:modified>
</cp:coreProperties>
</file>