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Aqua-Hyda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aqueous    </w:t>
      </w:r>
      <w:r>
        <w:t xml:space="preserve">   hydrant    </w:t>
      </w:r>
      <w:r>
        <w:t xml:space="preserve">   hydroponic    </w:t>
      </w:r>
      <w:r>
        <w:t xml:space="preserve">   hydraulic    </w:t>
      </w:r>
      <w:r>
        <w:t xml:space="preserve">   aquatic    </w:t>
      </w:r>
      <w:r>
        <w:t xml:space="preserve">   Aquarius    </w:t>
      </w:r>
      <w:r>
        <w:t xml:space="preserve">   aquamarine    </w:t>
      </w:r>
      <w:r>
        <w:t xml:space="preserve">   hydrophobia    </w:t>
      </w:r>
      <w:r>
        <w:t xml:space="preserve">   aqueduct    </w:t>
      </w:r>
      <w:r>
        <w:t xml:space="preserve">   aquarelle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Aqua-Hyda</dc:title>
  <dcterms:created xsi:type="dcterms:W3CDTF">2021-10-11T01:29:23Z</dcterms:created>
  <dcterms:modified xsi:type="dcterms:W3CDTF">2021-10-11T01:29:23Z</dcterms:modified>
</cp:coreProperties>
</file>