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Arteries of the Head, Face and Neck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middle temporal artery    </w:t>
      </w:r>
      <w:r>
        <w:t xml:space="preserve">   inferior labial artery    </w:t>
      </w:r>
      <w:r>
        <w:t xml:space="preserve">   infraorbital artery    </w:t>
      </w:r>
      <w:r>
        <w:t xml:space="preserve">   supraorbital artery    </w:t>
      </w:r>
      <w:r>
        <w:t xml:space="preserve">   occipital artery    </w:t>
      </w:r>
      <w:r>
        <w:t xml:space="preserve">   posterior auricular artery    </w:t>
      </w:r>
      <w:r>
        <w:t xml:space="preserve">   facial artery    </w:t>
      </w:r>
      <w:r>
        <w:t xml:space="preserve">   external carotid artery    </w:t>
      </w:r>
      <w:r>
        <w:t xml:space="preserve">   internal carotid artery    </w:t>
      </w:r>
      <w:r>
        <w:t xml:space="preserve">   common carotid arteries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Arteries of the Head, Face and Neck</dc:title>
  <dcterms:created xsi:type="dcterms:W3CDTF">2021-10-11T01:34:37Z</dcterms:created>
  <dcterms:modified xsi:type="dcterms:W3CDTF">2021-10-11T01:34:37Z</dcterms:modified>
</cp:coreProperties>
</file>