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Aspiring Financial Agents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Media    </w:t>
      </w:r>
      <w:r>
        <w:t xml:space="preserve">   Textbook    </w:t>
      </w:r>
      <w:r>
        <w:t xml:space="preserve">   Independent Activity Funds    </w:t>
      </w:r>
      <w:r>
        <w:t xml:space="preserve">   Audit    </w:t>
      </w:r>
      <w:r>
        <w:t xml:space="preserve">   Sponsor    </w:t>
      </w:r>
      <w:r>
        <w:t xml:space="preserve">   Bookkeeper    </w:t>
      </w:r>
      <w:r>
        <w:t xml:space="preserve">   Financial Agent    </w:t>
      </w:r>
      <w:r>
        <w:t xml:space="preserve">   Principal    </w:t>
      </w:r>
      <w:r>
        <w:t xml:space="preserve">   Grants    </w:t>
      </w:r>
      <w:r>
        <w:t xml:space="preserve">   Allocations    </w:t>
      </w:r>
      <w:r>
        <w:t xml:space="preserve">   Stakeholders    </w:t>
      </w:r>
      <w:r>
        <w:t xml:space="preserve">   Rules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Aspiring Financial Agents</dc:title>
  <dcterms:created xsi:type="dcterms:W3CDTF">2021-10-11T01:37:15Z</dcterms:created>
  <dcterms:modified xsi:type="dcterms:W3CDTF">2021-10-11T01:37:15Z</dcterms:modified>
</cp:coreProperties>
</file>