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Royal African Company    </w:t>
      </w:r>
      <w:r>
        <w:t xml:space="preserve">   Triangular trade    </w:t>
      </w:r>
      <w:r>
        <w:t xml:space="preserve">   Brazil    </w:t>
      </w:r>
      <w:r>
        <w:t xml:space="preserve">   Caribbean    </w:t>
      </w:r>
      <w:r>
        <w:t xml:space="preserve">   Death    </w:t>
      </w:r>
      <w:r>
        <w:t xml:space="preserve">   Population    </w:t>
      </w:r>
      <w:r>
        <w:t xml:space="preserve">   Settlements    </w:t>
      </w:r>
      <w:r>
        <w:t xml:space="preserve">   Africans    </w:t>
      </w:r>
      <w:r>
        <w:t xml:space="preserve">   Plantations    </w:t>
      </w:r>
      <w:r>
        <w:t xml:space="preserve">   Portugal    </w:t>
      </w:r>
      <w:r>
        <w:t xml:space="preserve">   Saharan    </w:t>
      </w:r>
      <w:r>
        <w:t xml:space="preserve">   Trade    </w:t>
      </w:r>
      <w:r>
        <w:t xml:space="preserve">   Sugar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2021-10-11T01:39:31Z</dcterms:created>
  <dcterms:modified xsi:type="dcterms:W3CDTF">2021-10-11T01:39:31Z</dcterms:modified>
</cp:coreProperties>
</file>