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Attachment- IJzendoorn and Kroonenberg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meta analysis    </w:t>
      </w:r>
      <w:r>
        <w:t xml:space="preserve">   Western    </w:t>
      </w:r>
      <w:r>
        <w:t xml:space="preserve">   Eastern    </w:t>
      </w:r>
      <w:r>
        <w:t xml:space="preserve">   cooperation    </w:t>
      </w:r>
      <w:r>
        <w:t xml:space="preserve">   Evaluation    </w:t>
      </w:r>
      <w:r>
        <w:t xml:space="preserve">   Great Britain    </w:t>
      </w:r>
      <w:r>
        <w:t xml:space="preserve">   individualistic    </w:t>
      </w:r>
      <w:r>
        <w:t xml:space="preserve">   collectivist    </w:t>
      </w:r>
      <w:r>
        <w:t xml:space="preserve">   culturally close    </w:t>
      </w:r>
      <w:r>
        <w:t xml:space="preserve">   reliability    </w:t>
      </w:r>
      <w:r>
        <w:t xml:space="preserve">   USA    </w:t>
      </w:r>
      <w:r>
        <w:t xml:space="preserve">   Japan    </w:t>
      </w:r>
      <w:r>
        <w:t xml:space="preserve">   attachment    </w:t>
      </w:r>
      <w:r>
        <w:t xml:space="preserve">   differences    </w:t>
      </w:r>
      <w:r>
        <w:t xml:space="preserve">   countries    </w:t>
      </w:r>
      <w:r>
        <w:t xml:space="preserve">   insecure-resistant    </w:t>
      </w:r>
      <w:r>
        <w:t xml:space="preserve">   insecure-avoidant    </w:t>
      </w:r>
      <w:r>
        <w:t xml:space="preserve">   secure    </w:t>
      </w:r>
      <w:r>
        <w:t xml:space="preserve">   cultural    </w:t>
      </w:r>
      <w:r>
        <w:t xml:space="preserve">   Kroonenberg    </w:t>
      </w:r>
      <w:r>
        <w:t xml:space="preserve">   Ijzendoorn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Attachment- IJzendoorn and Kroonenberg</dc:title>
  <dcterms:created xsi:type="dcterms:W3CDTF">2021-10-11T01:42:18Z</dcterms:created>
  <dcterms:modified xsi:type="dcterms:W3CDTF">2021-10-11T01:42:18Z</dcterms:modified>
</cp:coreProperties>
</file>