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Attitudes and Social Influences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self-justification    </w:t>
      </w:r>
      <w:r>
        <w:t xml:space="preserve">   internalization    </w:t>
      </w:r>
      <w:r>
        <w:t xml:space="preserve">   brainwashing    </w:t>
      </w:r>
      <w:r>
        <w:t xml:space="preserve">   sleeper effect    </w:t>
      </w:r>
      <w:r>
        <w:t xml:space="preserve">   inoculation effect    </w:t>
      </w:r>
      <w:r>
        <w:t xml:space="preserve">   boomerang effect    </w:t>
      </w:r>
      <w:r>
        <w:t xml:space="preserve">   cognitive dissonance    </w:t>
      </w:r>
      <w:r>
        <w:t xml:space="preserve">   prejudice    </w:t>
      </w:r>
      <w:r>
        <w:t xml:space="preserve">   identification    </w:t>
      </w:r>
      <w:r>
        <w:t xml:space="preserve">   compliance    </w:t>
      </w:r>
      <w:r>
        <w:t xml:space="preserve">   self-concept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 and Social Influences </dc:title>
  <dcterms:created xsi:type="dcterms:W3CDTF">2021-10-11T01:41:39Z</dcterms:created>
  <dcterms:modified xsi:type="dcterms:W3CDTF">2021-10-11T01:41:39Z</dcterms:modified>
</cp:coreProperties>
</file>