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ACCOUNTING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Balance sheet    </w:t>
      </w:r>
      <w:r>
        <w:t xml:space="preserve">   Bills payable    </w:t>
      </w:r>
      <w:r>
        <w:t xml:space="preserve">   Capital    </w:t>
      </w:r>
      <w:r>
        <w:t xml:space="preserve">   Credit side    </w:t>
      </w:r>
      <w:r>
        <w:t xml:space="preserve">   Debit side    </w:t>
      </w:r>
      <w:r>
        <w:t xml:space="preserve">   Goods    </w:t>
      </w:r>
      <w:r>
        <w:t xml:space="preserve">   Insolvency    </w:t>
      </w:r>
      <w:r>
        <w:t xml:space="preserve">   Owners equity    </w:t>
      </w:r>
      <w:r>
        <w:t xml:space="preserve">   Purchases    </w:t>
      </w:r>
      <w:r>
        <w:t xml:space="preserve">   Trade payable    </w:t>
      </w:r>
      <w:r>
        <w:t xml:space="preserve">   Trade receivable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ACCOUNTING TERMS </dc:title>
  <dcterms:created xsi:type="dcterms:W3CDTF">2021-10-11T01:57:32Z</dcterms:created>
  <dcterms:modified xsi:type="dcterms:W3CDTF">2021-10-11T01:57:32Z</dcterms:modified>
</cp:coreProperties>
</file>