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BSF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BSF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Annual Leaders'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CM</w:t>
            </w:r>
          </w:p>
        </w:tc>
      </w:tr>
    </w:tbl>
    <w:p>
      <w:pPr>
        <w:pStyle w:val="WordBankLarge"/>
      </w:pPr>
      <w:r>
        <w:t xml:space="preserve">   headquarters    </w:t>
      </w:r>
      <w:r>
        <w:t xml:space="preserve">   Evening Women's    </w:t>
      </w:r>
      <w:r>
        <w:t xml:space="preserve">   young adult    </w:t>
      </w:r>
      <w:r>
        <w:t xml:space="preserve">   summit    </w:t>
      </w:r>
      <w:r>
        <w:t xml:space="preserve">   Recorded lecture    </w:t>
      </w:r>
      <w:r>
        <w:t xml:space="preserve">   Group Leader in Training    </w:t>
      </w:r>
      <w:r>
        <w:t xml:space="preserve">   Evening Men's    </w:t>
      </w:r>
      <w:r>
        <w:t xml:space="preserve">   Online Group    </w:t>
      </w:r>
      <w:r>
        <w:t xml:space="preserve">   Online Group Leader    </w:t>
      </w:r>
      <w:r>
        <w:t xml:space="preserve">   Discussion Group    </w:t>
      </w:r>
      <w:r>
        <w:t xml:space="preserve">   Distance Satellite Group    </w:t>
      </w:r>
      <w:r>
        <w:t xml:space="preserve">   Children's Program    </w:t>
      </w:r>
      <w:r>
        <w:t xml:space="preserve">   Home Training Lesson    </w:t>
      </w:r>
      <w:r>
        <w:t xml:space="preserve">   Day Women's    </w:t>
      </w:r>
      <w:r>
        <w:t xml:space="preserve">   Bible Study Fellowship    </w:t>
      </w:r>
      <w:r>
        <w:t xml:space="preserve">   Administrative Leader    </w:t>
      </w:r>
      <w:r>
        <w:t xml:space="preserve">   Assistant Children's Supervisor    </w:t>
      </w:r>
      <w:r>
        <w:t xml:space="preserve">   Registered Adult    </w:t>
      </w:r>
      <w:r>
        <w:t xml:space="preserve">   Leaders' Meeting    </w:t>
      </w:r>
      <w:r>
        <w:t xml:space="preserve">   Dual Registration    </w:t>
      </w:r>
      <w:r>
        <w:t xml:space="preserve">   Class Administrator    </w:t>
      </w:r>
      <w:r>
        <w:t xml:space="preserve">   Daily Dive    </w:t>
      </w:r>
      <w:r>
        <w:t xml:space="preserve">   Group Leader    </w:t>
      </w:r>
      <w:r>
        <w:t xml:space="preserve">   Satellite Discussion Group    </w:t>
      </w:r>
      <w:r>
        <w:t xml:space="preserve">   Class 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Acronyms</dc:title>
  <dcterms:created xsi:type="dcterms:W3CDTF">2021-10-11T02:38:08Z</dcterms:created>
  <dcterms:modified xsi:type="dcterms:W3CDTF">2021-10-11T02:38:08Z</dcterms:modified>
</cp:coreProperties>
</file>