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p><w:pPr><w:pStyle w:val="PuzzleTitle"/></w:pPr><w:r><w:t xml:space="preserve">Badinerie - Key words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7. </w:t></w:r><w:r><w:t xml:space="preserve">a series of short pieces in various dance forms .</w:t></w:r></w:p><w:p><w:pPr><w:keepLines/><w:pStyle w:val="CluesTiny"/></w:pPr><w:r><w:rPr><w:b w:val="true"/><w:bCs w:val="true"/></w:rPr><w:t xml:space="preserve">8. </w:t></w:r><w:r><w:t xml:space="preserve">Key at the start of section A</w:t></w:r></w:p><w:p><w:pPr><w:keepLines/><w:pStyle w:val="CluesTiny"/></w:pPr><w:r><w:rPr><w:b w:val="true"/><w:bCs w:val="true"/></w:rPr><w:t xml:space="preserve">10. </w:t></w:r><w:r><w:t xml:space="preserve">harmonic device used in the flute and violin 1 part</w:t></w:r></w:p><w:p><w:pPr><w:keepLines/><w:pStyle w:val="CluesTiny"/></w:pPr><w:r><w:rPr><w:b w:val="true"/><w:bCs w:val="true"/></w:rPr><w:t xml:space="preserve">11. </w:t></w:r><w:r><w:t xml:space="preserve">a musical fragment that is characteristic of the piece.</w:t></w:r></w:p><w:p><w:pPr><w:keepLines/><w:pStyle w:val="CluesTiny"/></w:pPr><w:r><w:rPr><w:b w:val="true"/><w:bCs w:val="true"/></w:rPr><w:t xml:space="preserve">12. </w:t></w:r><w:r><w:t xml:space="preserve">When the lowest note in the chord is other than the chord’s root note.</w:t></w:r></w:p><w:p><w:pPr><w:keepLines/><w:pStyle w:val="CluesTiny"/></w:pPr><w:r><w:rPr><w:b w:val="true"/><w:bCs w:val="true"/></w:rPr><w:t xml:space="preserve">13. </w:t></w:r><w:r><w:t xml:space="preserve">main articulation used</w:t></w:r></w:p><w:p><w:pPr><w:keepLines/><w:pStyle w:val="CluesTiny"/></w:pPr><w:r><w:rPr><w:b w:val="true"/><w:bCs w:val="true"/></w:rPr><w:t xml:space="preserve">14. </w:t></w:r><w:r><w:t xml:space="preserve">Cadence at the end of the set work.</w:t></w:r></w:p><w:p><w:pPr><w:keepLines/><w:pStyle w:val="CluesTiny"/></w:pPr><w:r><w:rPr><w:b w:val="true"/><w:bCs w:val="true"/></w:rPr><w:t xml:space="preserve">15. </w:t></w:r><w:r><w:t xml:space="preserve">rhythmic device used at the start of the piece.</w:t></w:r></w:p><w:p><w:pPr><w:keepLines/><w:pStyle w:val="CluesTiny"/></w:pPr><w:r><w:rPr><w:b w:val="true"/><w:bCs w:val="true"/></w:rPr><w:t xml:space="preserve">16. </w:t></w:r><w:r><w:t xml:space="preserve">ornamentation used in section B</w:t></w:r></w:p><w:p><w:pPr><w:keepLines/><w:pStyle w:val="CluesTiny"/></w:pPr><w:r><w:rPr><w:b w:val="true"/><w:bCs w:val="true"/></w:rPr><w:t xml:space="preserve">17. </w:t></w:r><w:r><w:t xml:space="preserve">harmonic device used in the cello part</w:t></w:r></w:p><w:p><w:pPr><w:keepLines/><w:pStyle w:val="CluesTiny"/></w:pPr><w:r><w:rPr><w:b w:val="true"/><w:bCs w:val="true"/></w:rPr><w:t xml:space="preserve">19. </w:t></w:r><w:r><w:t xml:space="preserve">keyboard instrument used in the Baroque period.</w:t></w:r></w:p><w:p><w:pPr><w:keepLines/><w:pStyle w:val="CluesTiny"/></w:pPr><w:r><w:rPr><w:b w:val="true"/><w:bCs w:val="true"/></w:rPr><w:t xml:space="preserve">21. </w:t></w:r><w:r><w:t xml:space="preserve">melodic device used</w:t></w:r></w:p><w:p><w:pPr><w:keepLines/><w:pStyle w:val="CluesTiny"/></w:pPr><w:r><w:rPr><w:b w:val="true"/><w:bCs w:val="true"/></w:rPr><w:t xml:space="preserve">22. </w:t></w:r><w:r><w:t xml:space="preserve">melodic movement of motif A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main texture of the piece</w:t></w:r></w:p><w:p><w:pPr><w:keepLines/><w:pStyle w:val="CluesTiny"/></w:pPr><w:r><w:rPr><w:b w:val="true"/><w:bCs w:val="true"/></w:rPr><w:t xml:space="preserve">2. </w:t></w:r><w:r><w:t xml:space="preserve">a form of musical accompaniment used in the Baroque period.</w:t></w:r></w:p><w:p><w:pPr><w:keepLines/><w:pStyle w:val="CluesTiny"/></w:pPr><w:r><w:rPr><w:b w:val="true"/><w:bCs w:val="true"/></w:rPr><w:t xml:space="preserve">3. </w:t></w:r><w:r><w:t xml:space="preserve">Key at the start of section B</w:t></w:r></w:p><w:p><w:pPr><w:keepLines/><w:pStyle w:val="CluesTiny"/></w:pPr><w:r><w:rPr><w:b w:val="true"/><w:bCs w:val="true"/></w:rPr><w:t xml:space="preserve">4. </w:t></w:r><w:r><w:t xml:space="preserve">role of 2nd violin and viola</w:t></w:r></w:p><w:p><w:pPr><w:keepLines/><w:pStyle w:val="CluesTiny"/></w:pPr><w:r><w:rPr><w:b w:val="true"/><w:bCs w:val="true"/></w:rPr><w:t xml:space="preserve">5. </w:t></w:r><w:r><w:t xml:space="preserve">Major chord built on the flattened supertonic (second note) of the key</w:t></w:r></w:p><w:p><w:pPr><w:keepLines/><w:pStyle w:val="CluesTiny"/></w:pPr><w:r><w:rPr><w:b w:val="true"/><w:bCs w:val="true"/></w:rPr><w:t xml:space="preserve">6. </w:t></w:r><w:r><w:t xml:space="preserve">shortest rhythmical figure used in the piece</w:t></w:r></w:p><w:p><w:pPr><w:keepLines/><w:pStyle w:val="CluesTiny"/></w:pPr><w:r><w:rPr><w:b w:val="true"/><w:bCs w:val="true"/></w:rPr><w:t xml:space="preserve">9. </w:t></w:r><w:r><w:t xml:space="preserve">structure of the piece</w:t></w:r></w:p><w:p><w:pPr><w:keepLines/><w:pStyle w:val="CluesTiny"/></w:pPr><w:r><w:rPr><w:b w:val="true"/><w:bCs w:val="true"/></w:rPr><w:t xml:space="preserve">18. </w:t></w:r><w:r><w:t xml:space="preserve">ornamentation used</w:t></w:r></w:p><w:p><w:pPr><w:keepLines/><w:pStyle w:val="CluesTiny"/></w:pPr><w:r><w:rPr><w:b w:val="true"/><w:bCs w:val="true"/></w:rPr><w:t xml:space="preserve">20. </w:t></w:r><w:r><w:t xml:space="preserve">melodic movement of motif Y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Badinerie - Key words</dc:title>
  <dcterms:created xsi:type="dcterms:W3CDTF">2021-10-11T01:53:50Z</dcterms:created>
  <dcterms:modified xsi:type="dcterms:W3CDTF">2021-10-11T01:53:50Z</dcterms:modified>
</cp:coreProperties>
</file>