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medium of exchange    </w:t>
      </w:r>
      <w:r>
        <w:t xml:space="preserve">   portability    </w:t>
      </w:r>
      <w:r>
        <w:t xml:space="preserve">   scarcity    </w:t>
      </w:r>
      <w:r>
        <w:t xml:space="preserve">   discount rate    </w:t>
      </w:r>
      <w:r>
        <w:t xml:space="preserve">   loan    </w:t>
      </w:r>
      <w:r>
        <w:t xml:space="preserve">   store of value    </w:t>
      </w:r>
      <w:r>
        <w:t xml:space="preserve">   jerome powell    </w:t>
      </w:r>
      <w:r>
        <w:t xml:space="preserve">   federal reserve    </w:t>
      </w:r>
      <w:r>
        <w:t xml:space="preserve">   currency    </w:t>
      </w:r>
      <w:r>
        <w:t xml:space="preserve">   commodity money    </w:t>
      </w:r>
      <w:r>
        <w:t xml:space="preserve">   fiat money    </w:t>
      </w:r>
      <w:r>
        <w:t xml:space="preserve">   legal 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Unit</dc:title>
  <dcterms:created xsi:type="dcterms:W3CDTF">2021-10-11T01:54:36Z</dcterms:created>
  <dcterms:modified xsi:type="dcterms:W3CDTF">2021-10-11T01:54:36Z</dcterms:modified>
</cp:coreProperties>
</file>