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Drug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Goal-Oriented    </w:t>
      </w:r>
      <w:r>
        <w:t xml:space="preserve">   Intelligent    </w:t>
      </w:r>
      <w:r>
        <w:t xml:space="preserve">   Leadership    </w:t>
      </w:r>
      <w:r>
        <w:t xml:space="preserve">   Independent    </w:t>
      </w:r>
      <w:r>
        <w:t xml:space="preserve">   Successful    </w:t>
      </w:r>
      <w:r>
        <w:t xml:space="preserve">   Role-Model    </w:t>
      </w:r>
      <w:r>
        <w:t xml:space="preserve">   Focused    </w:t>
      </w:r>
      <w:r>
        <w:t xml:space="preserve">   Control    </w:t>
      </w:r>
      <w:r>
        <w:t xml:space="preserve">   Healthy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Drug Free</dc:title>
  <dcterms:created xsi:type="dcterms:W3CDTF">2021-10-11T02:03:46Z</dcterms:created>
  <dcterms:modified xsi:type="dcterms:W3CDTF">2021-10-11T02:03:46Z</dcterms:modified>
</cp:coreProperties>
</file>