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Billing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Advance beneficiary notice    </w:t>
      </w:r>
      <w:r>
        <w:t xml:space="preserve">   Authorization    </w:t>
      </w:r>
      <w:r>
        <w:t xml:space="preserve">   Champva    </w:t>
      </w:r>
      <w:r>
        <w:t xml:space="preserve">   Coinsurance    </w:t>
      </w:r>
      <w:r>
        <w:t xml:space="preserve">   Encounter    </w:t>
      </w:r>
      <w:r>
        <w:t xml:space="preserve">   Medicare    </w:t>
      </w:r>
      <w:r>
        <w:t xml:space="preserve">   Out of network    </w:t>
      </w:r>
      <w:r>
        <w:t xml:space="preserve">   Patient responsibility    </w:t>
      </w:r>
      <w:r>
        <w:t xml:space="preserve">   Predetermination    </w:t>
      </w:r>
      <w:r>
        <w:t xml:space="preserve">   Provider    </w:t>
      </w:r>
      <w:r>
        <w:t xml:space="preserve">   Revenue cycle    </w:t>
      </w:r>
      <w:r>
        <w:t xml:space="preserve">   Timely filing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terminology </dc:title>
  <dcterms:created xsi:type="dcterms:W3CDTF">2021-10-11T02:11:35Z</dcterms:created>
  <dcterms:modified xsi:type="dcterms:W3CDTF">2021-10-11T02:11:35Z</dcterms:modified>
</cp:coreProperties>
</file>