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Rule of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Independence    </w:t>
      </w:r>
      <w:r>
        <w:t xml:space="preserve">   John Holwell    </w:t>
      </w:r>
      <w:r>
        <w:t xml:space="preserve">   Siraj Ud Daulah    </w:t>
      </w:r>
      <w:r>
        <w:t xml:space="preserve">   Mir Jafar    </w:t>
      </w:r>
      <w:r>
        <w:t xml:space="preserve">   Calcutta    </w:t>
      </w:r>
      <w:r>
        <w:t xml:space="preserve">   BEIC    </w:t>
      </w:r>
      <w:r>
        <w:t xml:space="preserve">   Britain    </w:t>
      </w:r>
      <w:r>
        <w:t xml:space="preserve">   India    </w:t>
      </w:r>
      <w:r>
        <w:t xml:space="preserve">   Robert Clive    </w:t>
      </w:r>
      <w:r>
        <w:t xml:space="preserve">  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Rule of India</dc:title>
  <dcterms:created xsi:type="dcterms:W3CDTF">2021-10-11T02:35:13Z</dcterms:created>
  <dcterms:modified xsi:type="dcterms:W3CDTF">2021-10-11T02:35:13Z</dcterms:modified>
</cp:coreProperties>
</file>