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Deficit and Surplus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AGGREGATE DEMAND    </w:t>
      </w:r>
      <w:r>
        <w:t xml:space="preserve">   BORROWING    </w:t>
      </w:r>
      <w:r>
        <w:t xml:space="preserve">   BUDGET DEFICIT    </w:t>
      </w:r>
      <w:r>
        <w:t xml:space="preserve">   BUDGET SURPLUS    </w:t>
      </w:r>
      <w:r>
        <w:t xml:space="preserve">   ECONOMIC GROWTH    </w:t>
      </w:r>
      <w:r>
        <w:t xml:space="preserve">   FISCAL POLICY    </w:t>
      </w:r>
      <w:r>
        <w:t xml:space="preserve">   GOVERNMENT SPENDING    </w:t>
      </w:r>
      <w:r>
        <w:t xml:space="preserve">   INTEREST RATES    </w:t>
      </w:r>
      <w:r>
        <w:t xml:space="preserve">   SPENDING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Deficit and Surplus</dc:title>
  <dcterms:created xsi:type="dcterms:W3CDTF">2021-10-11T02:39:30Z</dcterms:created>
  <dcterms:modified xsi:type="dcterms:W3CDTF">2021-10-11T02:39:30Z</dcterms:modified>
</cp:coreProperties>
</file>