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tax    </w:t>
      </w:r>
      <w:r>
        <w:t xml:space="preserve">   subvention    </w:t>
      </w:r>
      <w:r>
        <w:t xml:space="preserve">   macroeconomic    </w:t>
      </w:r>
      <w:r>
        <w:t xml:space="preserve">   disinvestment    </w:t>
      </w:r>
      <w:r>
        <w:t xml:space="preserve">   expenditure    </w:t>
      </w:r>
      <w:r>
        <w:t xml:space="preserve">   resources    </w:t>
      </w:r>
      <w:r>
        <w:t xml:space="preserve">   revenue    </w:t>
      </w:r>
      <w:r>
        <w:t xml:space="preserve">   inflation    </w:t>
      </w:r>
      <w:r>
        <w:t xml:space="preserve">   debt    </w:t>
      </w:r>
      <w:r>
        <w:t xml:space="preserve">   gdp    </w:t>
      </w:r>
      <w:r>
        <w:t xml:space="preserve">   forecast    </w:t>
      </w:r>
      <w:r>
        <w:t xml:space="preserve">   Budgets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Budgets</dc:title>
  <dcterms:created xsi:type="dcterms:W3CDTF">2021-10-11T02:39:56Z</dcterms:created>
  <dcterms:modified xsi:type="dcterms:W3CDTF">2021-10-11T02:39:56Z</dcterms:modified>
</cp:coreProperties>
</file>