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Preventatives    </w:t>
      </w:r>
      <w:r>
        <w:t xml:space="preserve">   Support services    </w:t>
      </w:r>
      <w:r>
        <w:t xml:space="preserve">   Laws    </w:t>
      </w:r>
      <w:r>
        <w:t xml:space="preserve">   Support    </w:t>
      </w:r>
      <w:r>
        <w:t xml:space="preserve">   Perpetrator    </w:t>
      </w:r>
      <w:r>
        <w:t xml:space="preserve">   Effect    </w:t>
      </w:r>
      <w:r>
        <w:t xml:space="preserve">   Bystander    </w:t>
      </w:r>
      <w:r>
        <w:t xml:space="preserve">   Bully    </w:t>
      </w:r>
      <w:r>
        <w:t xml:space="preserve">   Victim    </w:t>
      </w:r>
      <w:r>
        <w:t xml:space="preserve">   Brodie’s law    </w:t>
      </w:r>
      <w:r>
        <w:t xml:space="preserve">   Cyberbullying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Wordsearch </dc:title>
  <dcterms:created xsi:type="dcterms:W3CDTF">2021-10-11T02:40:29Z</dcterms:created>
  <dcterms:modified xsi:type="dcterms:W3CDTF">2021-10-11T02:40:29Z</dcterms:modified>
</cp:coreProperties>
</file>