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 and Coach Companies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East Yorkshire Coaches    </w:t>
      </w:r>
      <w:r>
        <w:t xml:space="preserve">   Dartline    </w:t>
      </w:r>
      <w:r>
        <w:t xml:space="preserve">   Arriva    </w:t>
      </w:r>
      <w:r>
        <w:t xml:space="preserve">   Carmel Bristol    </w:t>
      </w:r>
      <w:r>
        <w:t xml:space="preserve">   Carmel Devon    </w:t>
      </w:r>
      <w:r>
        <w:t xml:space="preserve">   Roselyn    </w:t>
      </w:r>
      <w:r>
        <w:t xml:space="preserve">   Stagecoach London    </w:t>
      </w:r>
      <w:r>
        <w:t xml:space="preserve">   Stagecoach Manchester    </w:t>
      </w:r>
      <w:r>
        <w:t xml:space="preserve">   Stagecoach Southwest    </w:t>
      </w:r>
      <w:r>
        <w:t xml:space="preserve">   Taw and Torridge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 and Coach Companies</dc:title>
  <dcterms:created xsi:type="dcterms:W3CDTF">2021-10-11T02:41:49Z</dcterms:created>
  <dcterms:modified xsi:type="dcterms:W3CDTF">2021-10-11T02:41:49Z</dcterms:modified>
</cp:coreProperties>
</file>