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financial life cycle    </w:t>
      </w:r>
      <w:r>
        <w:t xml:space="preserve">   finance    </w:t>
      </w:r>
      <w:r>
        <w:t xml:space="preserve">   marketing    </w:t>
      </w:r>
      <w:r>
        <w:t xml:space="preserve">   expenditure    </w:t>
      </w:r>
      <w:r>
        <w:t xml:space="preserve">   income    </w:t>
      </w:r>
      <w:r>
        <w:t xml:space="preserve">   deficit    </w:t>
      </w:r>
      <w:r>
        <w:t xml:space="preserve">   surplus    </w:t>
      </w:r>
      <w:r>
        <w:t xml:space="preserve">   budget    </w:t>
      </w:r>
      <w:r>
        <w:t xml:space="preserve">   debit    </w:t>
      </w:r>
      <w:r>
        <w:t xml:space="preserve">   credit    </w:t>
      </w:r>
      <w:r>
        <w:t xml:space="preserve">   money    </w:t>
      </w:r>
      <w:r>
        <w:t xml:space="preserve">   enterprise    </w:t>
      </w:r>
      <w:r>
        <w:t xml:space="preserve">   consumer    </w:t>
      </w:r>
      <w:r>
        <w:t xml:space="preserve">   Insurance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</dc:title>
  <dcterms:created xsi:type="dcterms:W3CDTF">2021-10-11T02:41:51Z</dcterms:created>
  <dcterms:modified xsi:type="dcterms:W3CDTF">2021-10-11T02:41:51Z</dcterms:modified>
</cp:coreProperties>
</file>