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external    </w:t>
      </w:r>
      <w:r>
        <w:t xml:space="preserve">   internal    </w:t>
      </w:r>
      <w:r>
        <w:t xml:space="preserve">   Diversification    </w:t>
      </w:r>
      <w:r>
        <w:t xml:space="preserve">   Forwards vertical growth    </w:t>
      </w:r>
      <w:r>
        <w:t xml:space="preserve">   Backwards vertical growth    </w:t>
      </w:r>
      <w:r>
        <w:t xml:space="preserve">   horizontal growth    </w:t>
      </w:r>
      <w:r>
        <w:t xml:space="preserve">   takeover    </w:t>
      </w:r>
      <w:r>
        <w:t xml:space="preserve">   merger    </w:t>
      </w:r>
      <w:r>
        <w:t xml:space="preserve">   market share    </w:t>
      </w:r>
      <w:r>
        <w:t xml:space="preserve">   Inorganic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Growth</dc:title>
  <dcterms:created xsi:type="dcterms:W3CDTF">2021-10-11T02:42:14Z</dcterms:created>
  <dcterms:modified xsi:type="dcterms:W3CDTF">2021-10-11T02:42:14Z</dcterms:modified>
</cp:coreProperties>
</file>