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multinational corporation    </w:t>
      </w:r>
      <w:r>
        <w:t xml:space="preserve">   free trade area    </w:t>
      </w:r>
      <w:r>
        <w:t xml:space="preserve">   global economy    </w:t>
      </w:r>
      <w:r>
        <w:t xml:space="preserve">   embargo    </w:t>
      </w:r>
      <w:r>
        <w:t xml:space="preserve">   quota    </w:t>
      </w:r>
      <w:r>
        <w:t xml:space="preserve">   tariff    </w:t>
      </w:r>
      <w:r>
        <w:t xml:space="preserve">   balance of trade    </w:t>
      </w:r>
      <w:r>
        <w:t xml:space="preserve">   imports    </w:t>
      </w:r>
      <w:r>
        <w:t xml:space="preserve">   exports    </w:t>
      </w:r>
      <w:r>
        <w:t xml:space="preserve">   law of comparative adv.    </w:t>
      </w:r>
      <w:r>
        <w:t xml:space="preserve">   absolute advantage    </w:t>
      </w:r>
      <w:r>
        <w:t xml:space="preserve">   international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Management</dc:title>
  <dcterms:created xsi:type="dcterms:W3CDTF">2021-10-11T02:42:56Z</dcterms:created>
  <dcterms:modified xsi:type="dcterms:W3CDTF">2021-10-11T02:42:56Z</dcterms:modified>
</cp:coreProperties>
</file>