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legal    </w:t>
      </w:r>
      <w:r>
        <w:t xml:space="preserve">   structure    </w:t>
      </w:r>
      <w:r>
        <w:t xml:space="preserve">   Management    </w:t>
      </w:r>
      <w:r>
        <w:t xml:space="preserve">   Money    </w:t>
      </w:r>
      <w:r>
        <w:t xml:space="preserve">   Aims    </w:t>
      </w:r>
      <w:r>
        <w:t xml:space="preserve">   targetmarket    </w:t>
      </w:r>
      <w:r>
        <w:t xml:space="preserve">   customers    </w:t>
      </w:r>
      <w:r>
        <w:t xml:space="preserve">   franchise    </w:t>
      </w:r>
      <w:r>
        <w:t xml:space="preserve">   business    </w:t>
      </w:r>
      <w:r>
        <w:t xml:space="preserve">   limitedliability    </w:t>
      </w:r>
      <w:r>
        <w:t xml:space="preserve">   partnership    </w:t>
      </w:r>
      <w:r>
        <w:t xml:space="preserve">   Soletrader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Studies</dc:title>
  <dcterms:created xsi:type="dcterms:W3CDTF">2021-10-11T02:42:30Z</dcterms:created>
  <dcterms:modified xsi:type="dcterms:W3CDTF">2021-10-11T02:42:30Z</dcterms:modified>
</cp:coreProperties>
</file>