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CELECOXIB (Sophie Barker, Pippa Phillips, Saniyah Malik, Abdulla Hassan)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1998    </w:t>
      </w:r>
      <w:r>
        <w:t xml:space="preserve">   acutepain    </w:t>
      </w:r>
      <w:r>
        <w:t xml:space="preserve">   antagonist    </w:t>
      </w:r>
      <w:r>
        <w:t xml:space="preserve">   Arthritis    </w:t>
      </w:r>
      <w:r>
        <w:t xml:space="preserve">   Capsule    </w:t>
      </w:r>
      <w:r>
        <w:t xml:space="preserve">   celebrex    </w:t>
      </w:r>
      <w:r>
        <w:t xml:space="preserve">   celecoxib    </w:t>
      </w:r>
      <w:r>
        <w:t xml:space="preserve">   COX2    </w:t>
      </w:r>
      <w:r>
        <w:t xml:space="preserve">   fibroblasts    </w:t>
      </w:r>
      <w:r>
        <w:t xml:space="preserve">   GDSearle    </w:t>
      </w:r>
      <w:r>
        <w:t xml:space="preserve">   hydrophobic    </w:t>
      </w:r>
      <w:r>
        <w:t xml:space="preserve">   inflammation    </w:t>
      </w:r>
      <w:r>
        <w:t xml:space="preserve">   Inflammation    </w:t>
      </w:r>
      <w:r>
        <w:t xml:space="preserve">   insoluble    </w:t>
      </w:r>
      <w:r>
        <w:t xml:space="preserve">   leukocytes    </w:t>
      </w:r>
      <w:r>
        <w:t xml:space="preserve">   macrophages    </w:t>
      </w:r>
      <w:r>
        <w:t xml:space="preserve">   Monsanto    </w:t>
      </w:r>
      <w:r>
        <w:t xml:space="preserve">   NSAID    </w:t>
      </w:r>
      <w:r>
        <w:t xml:space="preserve">   pain    </w:t>
      </w:r>
      <w:r>
        <w:t xml:space="preserve">   prostaglandin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CELECOXIB (Sophie Barker, Pippa Phillips, Saniyah Malik, Abdulla Hassan)</dc:title>
  <dcterms:created xsi:type="dcterms:W3CDTF">2021-10-11T03:03:55Z</dcterms:created>
  <dcterms:modified xsi:type="dcterms:W3CDTF">2021-10-11T03:03:55Z</dcterms:modified>
</cp:coreProperties>
</file>