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14 DENTAL INSURANCE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USUALFEE    </w:t>
      </w:r>
      <w:r>
        <w:t xml:space="preserve">   USUALCUSTOMARYREASONABLE    </w:t>
      </w:r>
      <w:r>
        <w:t xml:space="preserve">   UNBUNDLINGOFPROCEDURES    </w:t>
      </w:r>
      <w:r>
        <w:t xml:space="preserve">   THIRDPARTYADMINISTRATOR    </w:t>
      </w:r>
      <w:r>
        <w:t xml:space="preserve">   TERMINATIONDATE    </w:t>
      </w:r>
      <w:r>
        <w:t xml:space="preserve">   TABLEOFALLOWANCESPLAN    </w:t>
      </w:r>
      <w:r>
        <w:t xml:space="preserve">   SUBSCRIBER    </w:t>
      </w:r>
      <w:r>
        <w:t xml:space="preserve">   REIMBURSEMENT    </w:t>
      </w:r>
      <w:r>
        <w:t xml:space="preserve">   REASONABLEFEE    </w:t>
      </w:r>
      <w:r>
        <w:t xml:space="preserve">   REASONABLECUSTOMARYPLAN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 DENTAL INSURANCE PART 3</dc:title>
  <dcterms:created xsi:type="dcterms:W3CDTF">2021-10-11T03:10:27Z</dcterms:created>
  <dcterms:modified xsi:type="dcterms:W3CDTF">2021-10-11T03:10:27Z</dcterms:modified>
</cp:coreProperties>
</file>