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 The Business of Dentistry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COMMUNICATION    </w:t>
      </w:r>
      <w:r>
        <w:t xml:space="preserve">   COMPETENCE    </w:t>
      </w:r>
      <w:r>
        <w:t xml:space="preserve">   CULTURAL COMPETENCY    </w:t>
      </w:r>
      <w:r>
        <w:t xml:space="preserve">   CULTURE    </w:t>
      </w:r>
      <w:r>
        <w:t xml:space="preserve">   DENTAL MANAGEMENT COMPANY    </w:t>
      </w:r>
      <w:r>
        <w:t xml:space="preserve">   DENTISTRY    </w:t>
      </w:r>
      <w:r>
        <w:t xml:space="preserve">   ISOURCING    </w:t>
      </w:r>
      <w:r>
        <w:t xml:space="preserve">   LEADERSHIP    </w:t>
      </w:r>
      <w:r>
        <w:t xml:space="preserve">   MANAGEMENT    </w:t>
      </w:r>
      <w:r>
        <w:t xml:space="preserve">   ORGANIZATIONAL CULTURE    </w:t>
      </w:r>
      <w:r>
        <w:t xml:space="preserve">   THE SERVICE OF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 The Business of Dentistry</dc:title>
  <dcterms:created xsi:type="dcterms:W3CDTF">2021-10-11T03:10:12Z</dcterms:created>
  <dcterms:modified xsi:type="dcterms:W3CDTF">2021-10-11T03:10:12Z</dcterms:modified>
</cp:coreProperties>
</file>