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COMPLIANCE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TRANSPARENCY    </w:t>
      </w:r>
      <w:r>
        <w:t xml:space="preserve">   ANALYTIC    </w:t>
      </w:r>
      <w:r>
        <w:t xml:space="preserve">   AUDIT    </w:t>
      </w:r>
      <w:r>
        <w:t xml:space="preserve">   CHECK LIST    </w:t>
      </w:r>
      <w:r>
        <w:t xml:space="preserve">   ETHICS    </w:t>
      </w:r>
      <w:r>
        <w:t xml:space="preserve">   GIDELINES    </w:t>
      </w:r>
      <w:r>
        <w:t xml:space="preserve">   GOVERNANCE    </w:t>
      </w:r>
      <w:r>
        <w:t xml:space="preserve">   GUIDELINES    </w:t>
      </w:r>
      <w:r>
        <w:t xml:space="preserve">   MONITORING    </w:t>
      </w:r>
      <w:r>
        <w:t xml:space="preserve">   REGULATORY    </w:t>
      </w:r>
      <w:r>
        <w:t xml:space="preserve">   RISK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KEY TERMS</dc:title>
  <dcterms:created xsi:type="dcterms:W3CDTF">2021-10-11T04:28:42Z</dcterms:created>
  <dcterms:modified xsi:type="dcterms:W3CDTF">2021-10-11T04:28:42Z</dcterms:modified>
</cp:coreProperties>
</file>