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credit unions    </w:t>
      </w:r>
      <w:r>
        <w:t xml:space="preserve">   commercial banks    </w:t>
      </w:r>
      <w:r>
        <w:t xml:space="preserve">   finance charge    </w:t>
      </w:r>
      <w:r>
        <w:t xml:space="preserve">   grace period    </w:t>
      </w:r>
      <w:r>
        <w:t xml:space="preserve">   line of credit    </w:t>
      </w:r>
      <w:r>
        <w:t xml:space="preserve">   open-end credit    </w:t>
      </w:r>
      <w:r>
        <w:t xml:space="preserve">   closed-end credit    </w:t>
      </w:r>
      <w:r>
        <w:t xml:space="preserve">   creditor    </w:t>
      </w:r>
      <w:r>
        <w:t xml:space="preserve">   consumer credit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CREDIT</dc:title>
  <dcterms:created xsi:type="dcterms:W3CDTF">2021-10-11T04:34:12Z</dcterms:created>
  <dcterms:modified xsi:type="dcterms:W3CDTF">2021-10-11T04:34:12Z</dcterms:modified>
</cp:coreProperties>
</file>