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 and the Wrath of the Wicked Wedgie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rockets    </w:t>
      </w:r>
      <w:r>
        <w:t xml:space="preserve">   giantrobots    </w:t>
      </w:r>
      <w:r>
        <w:t xml:space="preserve">   retiring    </w:t>
      </w:r>
      <w:r>
        <w:t xml:space="preserve">   foodfight    </w:t>
      </w:r>
      <w:r>
        <w:t xml:space="preserve">   comicbook    </w:t>
      </w:r>
      <w:r>
        <w:t xml:space="preserve">   harold    </w:t>
      </w:r>
      <w:r>
        <w:t xml:space="preserve">   George    </w:t>
      </w:r>
      <w:r>
        <w:t xml:space="preserve">   missribble    </w:t>
      </w:r>
      <w:r>
        <w:t xml:space="preserve">   wedgiewoman    </w:t>
      </w:r>
      <w:r>
        <w:t xml:space="preserve">   Captainunderpants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and the Wrath of the Wicked Wedgie Woman</dc:title>
  <dcterms:created xsi:type="dcterms:W3CDTF">2021-10-11T02:52:24Z</dcterms:created>
  <dcterms:modified xsi:type="dcterms:W3CDTF">2021-10-11T02:52:24Z</dcterms:modified>
</cp:coreProperties>
</file>