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Long Term Effect Keyword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Blood Viscosity    </w:t>
      </w:r>
      <w:r>
        <w:t xml:space="preserve">   Bradycardia    </w:t>
      </w:r>
      <w:r>
        <w:t xml:space="preserve">   Capillarization    </w:t>
      </w:r>
      <w:r>
        <w:t xml:space="preserve">   Cardiac Output    </w:t>
      </w:r>
      <w:r>
        <w:t xml:space="preserve">   Duration    </w:t>
      </w:r>
      <w:r>
        <w:t xml:space="preserve">   Heartrate    </w:t>
      </w:r>
      <w:r>
        <w:t xml:space="preserve">   Hypertrophy    </w:t>
      </w:r>
      <w:r>
        <w:t xml:space="preserve">   Intensity    </w:t>
      </w:r>
      <w:r>
        <w:t xml:space="preserve">   Stroke Volume    </w:t>
      </w:r>
      <w:r>
        <w:t xml:space="preserve">   Vascular Shunt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Long Term Effect Keyword</dc:title>
  <dcterms:created xsi:type="dcterms:W3CDTF">2021-10-11T02:54:29Z</dcterms:created>
  <dcterms:modified xsi:type="dcterms:W3CDTF">2021-10-11T02:54:29Z</dcterms:modified>
</cp:coreProperties>
</file>