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Counselling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postmodern    </w:t>
      </w:r>
      <w:r>
        <w:t xml:space="preserve">   social constructionist    </w:t>
      </w:r>
      <w:r>
        <w:t xml:space="preserve">   career interventions    </w:t>
      </w:r>
      <w:r>
        <w:t xml:space="preserve">   goal directed    </w:t>
      </w:r>
      <w:r>
        <w:t xml:space="preserve">   attending    </w:t>
      </w:r>
      <w:r>
        <w:t xml:space="preserve">   reflecting    </w:t>
      </w:r>
      <w:r>
        <w:t xml:space="preserve">   interviewing    </w:t>
      </w:r>
      <w:r>
        <w:t xml:space="preserve">   resources    </w:t>
      </w:r>
      <w:r>
        <w:t xml:space="preserve">   group    </w:t>
      </w:r>
      <w:r>
        <w:t xml:space="preserve">   Individual    </w:t>
      </w:r>
      <w:r>
        <w:t xml:space="preserve">   career development    </w:t>
      </w:r>
      <w:r>
        <w:t xml:space="preserve">   action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Counselling</dc:title>
  <dcterms:created xsi:type="dcterms:W3CDTF">2021-10-11T02:56:35Z</dcterms:created>
  <dcterms:modified xsi:type="dcterms:W3CDTF">2021-10-11T02:56:35Z</dcterms:modified>
</cp:coreProperties>
</file>