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Caring for Children with Special Medical Conditions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Allergic Diseases    </w:t>
      </w:r>
      <w:r>
        <w:t xml:space="preserve">   Anemia    </w:t>
      </w:r>
      <w:r>
        <w:t xml:space="preserve">   Asthma    </w:t>
      </w:r>
      <w:r>
        <w:t xml:space="preserve">   Childhood Cancers    </w:t>
      </w:r>
      <w:r>
        <w:t xml:space="preserve">   Diabetes    </w:t>
      </w:r>
      <w:r>
        <w:t xml:space="preserve">   Eczema    </w:t>
      </w:r>
      <w:r>
        <w:t xml:space="preserve">   Excessive Fatigue    </w:t>
      </w:r>
      <w:r>
        <w:t xml:space="preserve">   Food intolerance    </w:t>
      </w:r>
      <w:r>
        <w:t xml:space="preserve">   Lead Poisoning    </w:t>
      </w:r>
      <w:r>
        <w:t xml:space="preserve">   Seizures    </w:t>
      </w:r>
      <w:r>
        <w:t xml:space="preserve">   Sickle Cell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Caring for Children with Special Medical Conditions</dc:title>
  <dcterms:created xsi:type="dcterms:W3CDTF">2021-10-11T02:57:36Z</dcterms:created>
  <dcterms:modified xsi:type="dcterms:W3CDTF">2021-10-11T02:57:36Z</dcterms:modified>
</cp:coreProperties>
</file>