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Cytology    </w:t>
      </w:r>
      <w:r>
        <w:t xml:space="preserve">   Serology    </w:t>
      </w:r>
      <w:r>
        <w:t xml:space="preserve">   Pathogen    </w:t>
      </w:r>
      <w:r>
        <w:t xml:space="preserve">   Chronic    </w:t>
      </w:r>
      <w:r>
        <w:t xml:space="preserve">   Infection    </w:t>
      </w:r>
      <w:r>
        <w:t xml:space="preserve">   Microbiology    </w:t>
      </w:r>
      <w:r>
        <w:t xml:space="preserve">   Histopathology    </w:t>
      </w:r>
      <w:r>
        <w:t xml:space="preserve">   Eosin    </w:t>
      </w:r>
      <w:r>
        <w:t xml:space="preserve">   Hematoxylin    </w:t>
      </w:r>
      <w:r>
        <w:t xml:space="preserve">   Cell Pathology    </w:t>
      </w:r>
      <w:r>
        <w:t xml:space="preserve">   Laboratory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Pathology</dc:title>
  <dcterms:created xsi:type="dcterms:W3CDTF">2021-10-11T03:06:01Z</dcterms:created>
  <dcterms:modified xsi:type="dcterms:W3CDTF">2021-10-11T03:06:01Z</dcterms:modified>
</cp:coreProperties>
</file>