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concentration gradient    </w:t>
      </w:r>
      <w:r>
        <w:t xml:space="preserve">   dynamic equilibrium    </w:t>
      </w:r>
      <w:r>
        <w:t xml:space="preserve">   active transport    </w:t>
      </w:r>
      <w:r>
        <w:t xml:space="preserve">   isotonic solution    </w:t>
      </w:r>
      <w:r>
        <w:t xml:space="preserve">   exocytosis    </w:t>
      </w:r>
      <w:r>
        <w:t xml:space="preserve">   endocytosis    </w:t>
      </w:r>
      <w:r>
        <w:t xml:space="preserve">   osmosis    </w:t>
      </w:r>
      <w:r>
        <w:t xml:space="preserve">   diffusion    </w:t>
      </w:r>
      <w:r>
        <w:t xml:space="preserve">   lipid bilyaer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 Word Search</dc:title>
  <dcterms:created xsi:type="dcterms:W3CDTF">2021-10-11T03:05:23Z</dcterms:created>
  <dcterms:modified xsi:type="dcterms:W3CDTF">2021-10-11T03:05:23Z</dcterms:modified>
</cp:coreProperties>
</file>